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129B" w14:textId="77777777" w:rsidR="008D6F99" w:rsidRPr="0018145E" w:rsidRDefault="00335633" w:rsidP="00B053B4">
      <w:pPr>
        <w:spacing w:line="360" w:lineRule="auto"/>
        <w:rPr>
          <w:sz w:val="20"/>
          <w:szCs w:val="20"/>
          <w:lang w:val="fr-FR"/>
        </w:rPr>
      </w:pPr>
      <w:r w:rsidRPr="0018145E">
        <w:rPr>
          <w:sz w:val="20"/>
          <w:szCs w:val="20"/>
          <w:lang w:val="fr-FR"/>
        </w:rPr>
        <w:t>Communiqué de presse</w:t>
      </w:r>
    </w:p>
    <w:p w14:paraId="476A862C" w14:textId="77777777" w:rsidR="008D6F99" w:rsidRPr="0018145E" w:rsidRDefault="008D6F99" w:rsidP="00B053B4">
      <w:pPr>
        <w:spacing w:line="360" w:lineRule="auto"/>
        <w:rPr>
          <w:i/>
          <w:sz w:val="20"/>
          <w:szCs w:val="20"/>
          <w:lang w:val="fr-FR"/>
        </w:rPr>
      </w:pPr>
    </w:p>
    <w:p w14:paraId="4079DDE4" w14:textId="65D186E9" w:rsidR="006A0CEB" w:rsidRDefault="006A0CEB" w:rsidP="00193C36">
      <w:pPr>
        <w:spacing w:line="360" w:lineRule="auto"/>
        <w:rPr>
          <w:b/>
          <w:sz w:val="28"/>
          <w:szCs w:val="28"/>
          <w:lang w:val="fr-FR"/>
        </w:rPr>
      </w:pPr>
      <w:r w:rsidRPr="00A308AC">
        <w:rPr>
          <w:noProof/>
          <w:lang w:eastAsia="nl-NL"/>
        </w:rPr>
        <w:drawing>
          <wp:anchor distT="0" distB="0" distL="114300" distR="114300" simplePos="0" relativeHeight="251659264" behindDoc="1" locked="0" layoutInCell="1" allowOverlap="1" wp14:anchorId="75CFFB22" wp14:editId="53056004">
            <wp:simplePos x="0" y="0"/>
            <wp:positionH relativeFrom="column">
              <wp:posOffset>0</wp:posOffset>
            </wp:positionH>
            <wp:positionV relativeFrom="paragraph">
              <wp:posOffset>168063</wp:posOffset>
            </wp:positionV>
            <wp:extent cx="2400300" cy="676275"/>
            <wp:effectExtent l="0" t="0" r="0" b="0"/>
            <wp:wrapTight wrapText="bothSides">
              <wp:wrapPolygon edited="0">
                <wp:start x="0" y="0"/>
                <wp:lineTo x="0" y="21093"/>
                <wp:lineTo x="21486" y="21093"/>
                <wp:lineTo x="21486"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3BF" w:rsidRPr="0018145E">
        <w:rPr>
          <w:b/>
          <w:sz w:val="28"/>
          <w:szCs w:val="28"/>
          <w:lang w:val="fr-FR"/>
        </w:rPr>
        <w:t xml:space="preserve"> </w:t>
      </w:r>
    </w:p>
    <w:p w14:paraId="72CF7217" w14:textId="5569873E" w:rsidR="006A0CEB" w:rsidRDefault="006A0CEB" w:rsidP="00193C36">
      <w:pPr>
        <w:spacing w:line="360" w:lineRule="auto"/>
        <w:rPr>
          <w:b/>
          <w:sz w:val="28"/>
          <w:szCs w:val="28"/>
          <w:lang w:val="fr-FR"/>
        </w:rPr>
      </w:pPr>
    </w:p>
    <w:p w14:paraId="38072EAB" w14:textId="605D092D" w:rsidR="006A0CEB" w:rsidRDefault="006A0CEB" w:rsidP="00193C36">
      <w:pPr>
        <w:spacing w:line="360" w:lineRule="auto"/>
        <w:rPr>
          <w:b/>
          <w:sz w:val="28"/>
          <w:szCs w:val="28"/>
          <w:lang w:val="fr-FR"/>
        </w:rPr>
      </w:pPr>
    </w:p>
    <w:p w14:paraId="4B4D5B71" w14:textId="6FF8B778" w:rsidR="006A0CEB" w:rsidRDefault="006A0CEB" w:rsidP="00193C36">
      <w:pPr>
        <w:spacing w:line="360" w:lineRule="auto"/>
        <w:rPr>
          <w:b/>
          <w:sz w:val="28"/>
          <w:szCs w:val="28"/>
          <w:lang w:val="fr-FR"/>
        </w:rPr>
      </w:pPr>
    </w:p>
    <w:p w14:paraId="08BDC176" w14:textId="05A74638" w:rsidR="000653BF" w:rsidRPr="006A0CEB" w:rsidRDefault="00B053B4" w:rsidP="000653BF">
      <w:pPr>
        <w:spacing w:line="360" w:lineRule="auto"/>
        <w:rPr>
          <w:b/>
          <w:sz w:val="28"/>
          <w:szCs w:val="28"/>
          <w:lang w:val="fr-FR"/>
        </w:rPr>
      </w:pPr>
      <w:r w:rsidRPr="0018145E">
        <w:rPr>
          <w:b/>
          <w:sz w:val="28"/>
          <w:szCs w:val="28"/>
          <w:lang w:val="fr-FR"/>
        </w:rPr>
        <w:t>“</w:t>
      </w:r>
      <w:r w:rsidR="0031206C" w:rsidRPr="0018145E">
        <w:rPr>
          <w:b/>
          <w:sz w:val="28"/>
          <w:szCs w:val="28"/>
          <w:lang w:val="fr-FR"/>
        </w:rPr>
        <w:t>Les directeurs d’achats et de finances anticipent les effets négatifs des défis géopolitiques”</w:t>
      </w:r>
      <w:r w:rsidR="006A0CEB">
        <w:rPr>
          <w:b/>
          <w:sz w:val="28"/>
          <w:szCs w:val="28"/>
          <w:lang w:val="fr-FR"/>
        </w:rPr>
        <w:t xml:space="preserve"> - </w:t>
      </w:r>
      <w:r w:rsidR="00797390" w:rsidRPr="0018145E">
        <w:rPr>
          <w:i/>
          <w:lang w:val="fr-FR"/>
        </w:rPr>
        <w:t>Nouveau</w:t>
      </w:r>
      <w:r w:rsidR="000653BF" w:rsidRPr="0018145E">
        <w:rPr>
          <w:i/>
          <w:lang w:val="fr-FR"/>
        </w:rPr>
        <w:t xml:space="preserve"> rapport The </w:t>
      </w:r>
      <w:proofErr w:type="spellStart"/>
      <w:r w:rsidR="000653BF" w:rsidRPr="0018145E">
        <w:rPr>
          <w:i/>
          <w:lang w:val="fr-FR"/>
        </w:rPr>
        <w:t>Economist</w:t>
      </w:r>
      <w:proofErr w:type="spellEnd"/>
      <w:r w:rsidR="000653BF" w:rsidRPr="0018145E">
        <w:rPr>
          <w:i/>
          <w:lang w:val="fr-FR"/>
        </w:rPr>
        <w:t xml:space="preserve"> Intelligence </w:t>
      </w:r>
      <w:proofErr w:type="gramStart"/>
      <w:r w:rsidR="000653BF" w:rsidRPr="0018145E">
        <w:rPr>
          <w:i/>
          <w:lang w:val="fr-FR"/>
        </w:rPr>
        <w:t>Unit:</w:t>
      </w:r>
      <w:proofErr w:type="gramEnd"/>
    </w:p>
    <w:p w14:paraId="72B37FA4" w14:textId="77777777" w:rsidR="000653BF" w:rsidRPr="0018145E" w:rsidRDefault="000653BF" w:rsidP="00193C36">
      <w:pPr>
        <w:spacing w:line="360" w:lineRule="auto"/>
        <w:rPr>
          <w:sz w:val="20"/>
          <w:szCs w:val="20"/>
          <w:lang w:val="fr-FR"/>
        </w:rPr>
      </w:pPr>
    </w:p>
    <w:p w14:paraId="4AA9646A" w14:textId="211A5D67" w:rsidR="00797390" w:rsidRPr="0018145E" w:rsidRDefault="000653BF" w:rsidP="00193C36">
      <w:pPr>
        <w:spacing w:line="360" w:lineRule="auto"/>
        <w:rPr>
          <w:sz w:val="20"/>
          <w:szCs w:val="20"/>
          <w:lang w:val="fr-FR"/>
        </w:rPr>
      </w:pPr>
      <w:proofErr w:type="spellStart"/>
      <w:r w:rsidRPr="0018145E">
        <w:rPr>
          <w:sz w:val="20"/>
          <w:szCs w:val="20"/>
          <w:lang w:val="fr-FR"/>
        </w:rPr>
        <w:t>Erembodegem</w:t>
      </w:r>
      <w:proofErr w:type="spellEnd"/>
      <w:r w:rsidR="00B053B4" w:rsidRPr="0018145E">
        <w:rPr>
          <w:sz w:val="20"/>
          <w:szCs w:val="20"/>
          <w:lang w:val="fr-FR"/>
        </w:rPr>
        <w:t xml:space="preserve">, </w:t>
      </w:r>
      <w:r w:rsidR="00797390" w:rsidRPr="0018145E">
        <w:rPr>
          <w:sz w:val="20"/>
          <w:szCs w:val="20"/>
          <w:lang w:val="fr-FR"/>
        </w:rPr>
        <w:t xml:space="preserve">le </w:t>
      </w:r>
      <w:r w:rsidRPr="0018145E">
        <w:rPr>
          <w:sz w:val="20"/>
          <w:szCs w:val="20"/>
          <w:lang w:val="fr-FR"/>
        </w:rPr>
        <w:t>11</w:t>
      </w:r>
      <w:r w:rsidR="00B053B4" w:rsidRPr="0018145E">
        <w:rPr>
          <w:sz w:val="20"/>
          <w:szCs w:val="20"/>
          <w:lang w:val="fr-FR"/>
        </w:rPr>
        <w:t xml:space="preserve"> </w:t>
      </w:r>
      <w:r w:rsidR="00797390" w:rsidRPr="0018145E">
        <w:rPr>
          <w:sz w:val="20"/>
          <w:szCs w:val="20"/>
          <w:lang w:val="fr-FR"/>
        </w:rPr>
        <w:t>juin</w:t>
      </w:r>
      <w:r w:rsidR="00193C36" w:rsidRPr="0018145E">
        <w:rPr>
          <w:sz w:val="20"/>
          <w:szCs w:val="20"/>
          <w:lang w:val="fr-FR"/>
        </w:rPr>
        <w:t xml:space="preserve"> 2019 </w:t>
      </w:r>
      <w:r w:rsidR="00B053B4" w:rsidRPr="0018145E">
        <w:rPr>
          <w:sz w:val="20"/>
          <w:szCs w:val="20"/>
          <w:lang w:val="fr-FR"/>
        </w:rPr>
        <w:t>–</w:t>
      </w:r>
      <w:r w:rsidR="00193C36" w:rsidRPr="0018145E">
        <w:rPr>
          <w:b/>
          <w:sz w:val="20"/>
          <w:szCs w:val="20"/>
          <w:lang w:val="fr-FR"/>
        </w:rPr>
        <w:t xml:space="preserve"> </w:t>
      </w:r>
      <w:r w:rsidR="00797390" w:rsidRPr="0018145E">
        <w:rPr>
          <w:b/>
          <w:sz w:val="20"/>
          <w:szCs w:val="20"/>
          <w:lang w:val="fr-FR"/>
        </w:rPr>
        <w:t xml:space="preserve">Dans le rapport </w:t>
      </w:r>
      <w:proofErr w:type="spellStart"/>
      <w:r w:rsidR="00797390" w:rsidRPr="0018145E">
        <w:rPr>
          <w:b/>
          <w:i/>
          <w:sz w:val="20"/>
          <w:szCs w:val="20"/>
          <w:lang w:val="fr-FR"/>
        </w:rPr>
        <w:t>What’s</w:t>
      </w:r>
      <w:proofErr w:type="spellEnd"/>
      <w:r w:rsidR="00797390" w:rsidRPr="0018145E">
        <w:rPr>
          <w:b/>
          <w:i/>
          <w:sz w:val="20"/>
          <w:szCs w:val="20"/>
          <w:lang w:val="fr-FR"/>
        </w:rPr>
        <w:t xml:space="preserve"> </w:t>
      </w:r>
      <w:proofErr w:type="spellStart"/>
      <w:r w:rsidR="00797390" w:rsidRPr="0018145E">
        <w:rPr>
          <w:b/>
          <w:i/>
          <w:sz w:val="20"/>
          <w:szCs w:val="20"/>
          <w:lang w:val="fr-FR"/>
        </w:rPr>
        <w:t>Now</w:t>
      </w:r>
      <w:proofErr w:type="spellEnd"/>
      <w:r w:rsidR="00797390" w:rsidRPr="0018145E">
        <w:rPr>
          <w:b/>
          <w:i/>
          <w:sz w:val="20"/>
          <w:szCs w:val="20"/>
          <w:lang w:val="fr-FR"/>
        </w:rPr>
        <w:t xml:space="preserve"> and </w:t>
      </w:r>
      <w:proofErr w:type="spellStart"/>
      <w:r w:rsidR="00797390" w:rsidRPr="0018145E">
        <w:rPr>
          <w:b/>
          <w:i/>
          <w:sz w:val="20"/>
          <w:szCs w:val="20"/>
          <w:lang w:val="fr-FR"/>
        </w:rPr>
        <w:t>Next</w:t>
      </w:r>
      <w:proofErr w:type="spellEnd"/>
      <w:r w:rsidR="00797390" w:rsidRPr="0018145E">
        <w:rPr>
          <w:b/>
          <w:i/>
          <w:sz w:val="20"/>
          <w:szCs w:val="20"/>
          <w:lang w:val="fr-FR"/>
        </w:rPr>
        <w:t xml:space="preserve"> for Finance and </w:t>
      </w:r>
      <w:proofErr w:type="spellStart"/>
      <w:proofErr w:type="gramStart"/>
      <w:r w:rsidR="00797390" w:rsidRPr="0018145E">
        <w:rPr>
          <w:b/>
          <w:i/>
          <w:sz w:val="20"/>
          <w:szCs w:val="20"/>
          <w:lang w:val="fr-FR"/>
        </w:rPr>
        <w:t>Procurement</w:t>
      </w:r>
      <w:proofErr w:type="spellEnd"/>
      <w:r w:rsidR="00797390" w:rsidRPr="0018145E">
        <w:rPr>
          <w:b/>
          <w:i/>
          <w:sz w:val="20"/>
          <w:szCs w:val="20"/>
          <w:lang w:val="fr-FR"/>
        </w:rPr>
        <w:t>?</w:t>
      </w:r>
      <w:proofErr w:type="gramEnd"/>
      <w:r w:rsidR="004D48AE" w:rsidRPr="0018145E">
        <w:rPr>
          <w:rStyle w:val="Voetnootmarkering"/>
          <w:b/>
          <w:i/>
          <w:sz w:val="20"/>
          <w:szCs w:val="20"/>
          <w:lang w:val="fr-FR"/>
        </w:rPr>
        <w:footnoteReference w:id="1"/>
      </w:r>
      <w:r w:rsidR="00797390" w:rsidRPr="0018145E">
        <w:rPr>
          <w:b/>
          <w:sz w:val="20"/>
          <w:szCs w:val="20"/>
          <w:lang w:val="fr-FR"/>
        </w:rPr>
        <w:t xml:space="preserve"> de The </w:t>
      </w:r>
      <w:proofErr w:type="spellStart"/>
      <w:r w:rsidR="00797390" w:rsidRPr="0018145E">
        <w:rPr>
          <w:b/>
          <w:sz w:val="20"/>
          <w:szCs w:val="20"/>
          <w:lang w:val="fr-FR"/>
        </w:rPr>
        <w:t>Economist</w:t>
      </w:r>
      <w:proofErr w:type="spellEnd"/>
      <w:r w:rsidR="00797390" w:rsidRPr="0018145E">
        <w:rPr>
          <w:b/>
          <w:sz w:val="20"/>
          <w:szCs w:val="20"/>
          <w:lang w:val="fr-FR"/>
        </w:rPr>
        <w:t xml:space="preserve"> Intelligence Unit, soutenu par </w:t>
      </w:r>
      <w:proofErr w:type="spellStart"/>
      <w:r w:rsidR="00797390" w:rsidRPr="0018145E">
        <w:rPr>
          <w:b/>
          <w:sz w:val="20"/>
          <w:szCs w:val="20"/>
          <w:lang w:val="fr-FR"/>
        </w:rPr>
        <w:t>Basware</w:t>
      </w:r>
      <w:proofErr w:type="spellEnd"/>
      <w:r w:rsidR="00797390" w:rsidRPr="0018145E">
        <w:rPr>
          <w:b/>
          <w:sz w:val="20"/>
          <w:szCs w:val="20"/>
          <w:lang w:val="fr-FR"/>
        </w:rPr>
        <w:t xml:space="preserve">, 400 directeurs d’achats et de finances ont été interrogés aux Etats-Unis, au Royaume-Uni, en Allemagne et en France. Ils ont chacun donné leur avis à propos de leurs attentes, l’impact des et les préparations aux relations commerciales changeantes, l’automatisation et la numérisation. Trois tendances ont ainsi été dévoilées. </w:t>
      </w:r>
    </w:p>
    <w:p w14:paraId="5D8928AE" w14:textId="77777777" w:rsidR="00C16539" w:rsidRPr="0018145E" w:rsidRDefault="00C16539" w:rsidP="00193C36">
      <w:pPr>
        <w:spacing w:line="360" w:lineRule="auto"/>
        <w:rPr>
          <w:sz w:val="20"/>
          <w:szCs w:val="20"/>
          <w:lang w:val="fr-FR"/>
        </w:rPr>
      </w:pPr>
    </w:p>
    <w:p w14:paraId="70B05126" w14:textId="67219283" w:rsidR="00797390" w:rsidRPr="0018145E" w:rsidRDefault="00797390" w:rsidP="00193C36">
      <w:pPr>
        <w:spacing w:line="360" w:lineRule="auto"/>
        <w:rPr>
          <w:sz w:val="20"/>
          <w:szCs w:val="20"/>
          <w:lang w:val="fr-FR"/>
        </w:rPr>
      </w:pPr>
      <w:r w:rsidRPr="0018145E">
        <w:rPr>
          <w:sz w:val="20"/>
          <w:szCs w:val="20"/>
          <w:lang w:val="fr-FR"/>
        </w:rPr>
        <w:t xml:space="preserve">Une tendance importante </w:t>
      </w:r>
      <w:r w:rsidR="0018145E">
        <w:rPr>
          <w:sz w:val="20"/>
          <w:szCs w:val="20"/>
          <w:lang w:val="fr-FR"/>
        </w:rPr>
        <w:t>est</w:t>
      </w:r>
      <w:r w:rsidRPr="0018145E">
        <w:rPr>
          <w:sz w:val="20"/>
          <w:szCs w:val="20"/>
          <w:lang w:val="fr-FR"/>
        </w:rPr>
        <w:t xml:space="preserve"> la préoccupation à propos </w:t>
      </w:r>
      <w:r w:rsidR="004D48AE" w:rsidRPr="0018145E">
        <w:rPr>
          <w:sz w:val="20"/>
          <w:szCs w:val="20"/>
          <w:lang w:val="fr-FR"/>
        </w:rPr>
        <w:t>de la baisse</w:t>
      </w:r>
      <w:r w:rsidRPr="0018145E">
        <w:rPr>
          <w:sz w:val="20"/>
          <w:szCs w:val="20"/>
          <w:lang w:val="fr-FR"/>
        </w:rPr>
        <w:t xml:space="preserve"> des performances professionnelles </w:t>
      </w:r>
      <w:r w:rsidR="004D48AE" w:rsidRPr="0018145E">
        <w:rPr>
          <w:sz w:val="20"/>
          <w:szCs w:val="20"/>
          <w:lang w:val="fr-FR"/>
        </w:rPr>
        <w:t>à cause du dynamisme commercial mondial</w:t>
      </w:r>
      <w:r w:rsidRPr="0018145E">
        <w:rPr>
          <w:sz w:val="20"/>
          <w:szCs w:val="20"/>
          <w:lang w:val="fr-FR"/>
        </w:rPr>
        <w:t xml:space="preserve">, </w:t>
      </w:r>
      <w:r w:rsidR="004D48AE" w:rsidRPr="0018145E">
        <w:rPr>
          <w:sz w:val="20"/>
          <w:szCs w:val="20"/>
          <w:lang w:val="fr-FR"/>
        </w:rPr>
        <w:t>causée</w:t>
      </w:r>
      <w:r w:rsidRPr="0018145E">
        <w:rPr>
          <w:sz w:val="20"/>
          <w:szCs w:val="20"/>
          <w:lang w:val="fr-FR"/>
        </w:rPr>
        <w:t xml:space="preserve"> par les coûts d’achats plus élevés et la plus grande complexit</w:t>
      </w:r>
      <w:r w:rsidR="000A0A09" w:rsidRPr="0018145E">
        <w:rPr>
          <w:sz w:val="20"/>
          <w:szCs w:val="20"/>
          <w:lang w:val="fr-FR"/>
        </w:rPr>
        <w:t>é de la chaî</w:t>
      </w:r>
      <w:r w:rsidRPr="0018145E">
        <w:rPr>
          <w:sz w:val="20"/>
          <w:szCs w:val="20"/>
          <w:lang w:val="fr-FR"/>
        </w:rPr>
        <w:t xml:space="preserve">ne d’approvisionnement. </w:t>
      </w:r>
    </w:p>
    <w:p w14:paraId="4B2EBEAB" w14:textId="77777777" w:rsidR="00193C36" w:rsidRPr="0018145E" w:rsidRDefault="00193C36" w:rsidP="00193C36">
      <w:pPr>
        <w:spacing w:line="360" w:lineRule="auto"/>
        <w:rPr>
          <w:sz w:val="20"/>
          <w:szCs w:val="20"/>
          <w:lang w:val="fr-FR"/>
        </w:rPr>
      </w:pPr>
    </w:p>
    <w:p w14:paraId="5B558F8B" w14:textId="6F5983C8" w:rsidR="00193C36" w:rsidRPr="0018145E" w:rsidRDefault="009E3C3E" w:rsidP="00193C36">
      <w:pPr>
        <w:spacing w:line="360" w:lineRule="auto"/>
        <w:rPr>
          <w:b/>
          <w:sz w:val="20"/>
          <w:szCs w:val="20"/>
          <w:lang w:val="fr-FR"/>
        </w:rPr>
      </w:pPr>
      <w:r w:rsidRPr="0018145E">
        <w:rPr>
          <w:b/>
          <w:sz w:val="20"/>
          <w:szCs w:val="20"/>
          <w:lang w:val="fr-FR"/>
        </w:rPr>
        <w:t>Plus grand impact des questions géopolitiques</w:t>
      </w:r>
      <w:r w:rsidR="00193C36" w:rsidRPr="0018145E">
        <w:rPr>
          <w:b/>
          <w:sz w:val="20"/>
          <w:szCs w:val="20"/>
          <w:lang w:val="fr-FR"/>
        </w:rPr>
        <w:t xml:space="preserve"> </w:t>
      </w:r>
    </w:p>
    <w:p w14:paraId="58217602" w14:textId="78F4F521" w:rsidR="009E3C3E" w:rsidRPr="0018145E" w:rsidRDefault="009E3C3E" w:rsidP="00193C36">
      <w:pPr>
        <w:spacing w:line="360" w:lineRule="auto"/>
        <w:rPr>
          <w:sz w:val="20"/>
          <w:szCs w:val="20"/>
          <w:lang w:val="fr-FR"/>
        </w:rPr>
      </w:pPr>
      <w:r w:rsidRPr="0018145E">
        <w:rPr>
          <w:sz w:val="20"/>
          <w:szCs w:val="20"/>
          <w:lang w:val="fr-FR"/>
        </w:rPr>
        <w:t>Au niveau des attentes des tendances commerciales futures, les deux résultats les plus attendus des deux années à venir sont les pourparlers commerciaux post-</w:t>
      </w:r>
      <w:proofErr w:type="spellStart"/>
      <w:r w:rsidRPr="0018145E">
        <w:rPr>
          <w:sz w:val="20"/>
          <w:szCs w:val="20"/>
          <w:lang w:val="fr-FR"/>
        </w:rPr>
        <w:t>Brexit</w:t>
      </w:r>
      <w:proofErr w:type="spellEnd"/>
      <w:r w:rsidRPr="0018145E">
        <w:rPr>
          <w:sz w:val="20"/>
          <w:szCs w:val="20"/>
          <w:lang w:val="fr-FR"/>
        </w:rPr>
        <w:t xml:space="preserve"> (23%) et la dégradation de la guerre commerciale </w:t>
      </w:r>
      <w:proofErr w:type="spellStart"/>
      <w:r w:rsidRPr="0018145E">
        <w:rPr>
          <w:sz w:val="20"/>
          <w:szCs w:val="20"/>
          <w:lang w:val="fr-FR"/>
        </w:rPr>
        <w:t>américo</w:t>
      </w:r>
      <w:proofErr w:type="spellEnd"/>
      <w:r w:rsidRPr="0018145E">
        <w:rPr>
          <w:sz w:val="20"/>
          <w:szCs w:val="20"/>
          <w:lang w:val="fr-FR"/>
        </w:rPr>
        <w:t xml:space="preserve">-chinoise. Un répondant craint même un manque de marchés libres d’ici à dix ans, et estime que ces deux tendances interrompent </w:t>
      </w:r>
      <w:r w:rsidR="004D48AE" w:rsidRPr="0018145E">
        <w:rPr>
          <w:sz w:val="20"/>
          <w:szCs w:val="20"/>
          <w:lang w:val="fr-FR"/>
        </w:rPr>
        <w:t xml:space="preserve">la progression </w:t>
      </w:r>
      <w:r w:rsidRPr="0018145E">
        <w:rPr>
          <w:sz w:val="20"/>
          <w:szCs w:val="20"/>
          <w:lang w:val="fr-FR"/>
        </w:rPr>
        <w:t xml:space="preserve">de la globalisation. D’autres se préoccupent à propos des freins nationaux au commerce numérique, notamment la censure, les mesures de localisation et la réglementation concernant la vie privée (13%). </w:t>
      </w:r>
    </w:p>
    <w:p w14:paraId="0B2EAC49" w14:textId="77777777" w:rsidR="00193C36" w:rsidRPr="0018145E" w:rsidRDefault="00193C36" w:rsidP="00193C36">
      <w:pPr>
        <w:spacing w:line="360" w:lineRule="auto"/>
        <w:rPr>
          <w:sz w:val="20"/>
          <w:szCs w:val="20"/>
          <w:lang w:val="fr-FR"/>
        </w:rPr>
      </w:pPr>
    </w:p>
    <w:p w14:paraId="03CD5183" w14:textId="731D7AEE" w:rsidR="009E3C3E" w:rsidRPr="0018145E" w:rsidRDefault="009E3C3E" w:rsidP="00193C36">
      <w:pPr>
        <w:spacing w:line="360" w:lineRule="auto"/>
        <w:rPr>
          <w:b/>
          <w:sz w:val="20"/>
          <w:szCs w:val="20"/>
          <w:lang w:val="fr-FR"/>
        </w:rPr>
      </w:pPr>
      <w:r w:rsidRPr="0018145E">
        <w:rPr>
          <w:b/>
          <w:sz w:val="20"/>
          <w:szCs w:val="20"/>
          <w:lang w:val="fr-FR"/>
        </w:rPr>
        <w:t>Préparation de l’amélioration des processus internes</w:t>
      </w:r>
    </w:p>
    <w:p w14:paraId="660CDA2D" w14:textId="7D3D8DC2" w:rsidR="00AF551A" w:rsidRPr="0018145E" w:rsidRDefault="009E3C3E" w:rsidP="00193C36">
      <w:pPr>
        <w:spacing w:line="360" w:lineRule="auto"/>
        <w:rPr>
          <w:sz w:val="20"/>
          <w:szCs w:val="20"/>
          <w:lang w:val="fr-FR"/>
        </w:rPr>
      </w:pPr>
      <w:r w:rsidRPr="0018145E">
        <w:rPr>
          <w:sz w:val="20"/>
          <w:szCs w:val="20"/>
          <w:lang w:val="fr-FR"/>
        </w:rPr>
        <w:t>Les répondants s’attendent à ce que le dyna</w:t>
      </w:r>
      <w:r w:rsidR="00C03742">
        <w:rPr>
          <w:sz w:val="20"/>
          <w:szCs w:val="20"/>
          <w:lang w:val="fr-FR"/>
        </w:rPr>
        <w:t>misme commerci</w:t>
      </w:r>
      <w:r w:rsidRPr="0018145E">
        <w:rPr>
          <w:sz w:val="20"/>
          <w:szCs w:val="20"/>
          <w:lang w:val="fr-FR"/>
        </w:rPr>
        <w:t>al</w:t>
      </w:r>
      <w:r w:rsidR="00025FF5" w:rsidRPr="0018145E">
        <w:rPr>
          <w:sz w:val="20"/>
          <w:szCs w:val="20"/>
          <w:lang w:val="fr-FR"/>
        </w:rPr>
        <w:t xml:space="preserve"> </w:t>
      </w:r>
      <w:r w:rsidR="00243A8A">
        <w:rPr>
          <w:sz w:val="20"/>
          <w:szCs w:val="20"/>
          <w:lang w:val="fr-FR"/>
        </w:rPr>
        <w:t>ait</w:t>
      </w:r>
      <w:r w:rsidR="00025FF5" w:rsidRPr="0018145E">
        <w:rPr>
          <w:sz w:val="20"/>
          <w:szCs w:val="20"/>
          <w:lang w:val="fr-FR"/>
        </w:rPr>
        <w:t xml:space="preserve"> des effets négatifs, surtout à cause d’une augmentation des </w:t>
      </w:r>
      <w:r w:rsidR="000A0A09" w:rsidRPr="0018145E">
        <w:rPr>
          <w:sz w:val="20"/>
          <w:szCs w:val="20"/>
          <w:lang w:val="fr-FR"/>
        </w:rPr>
        <w:t>coûts</w:t>
      </w:r>
      <w:r w:rsidR="00025FF5" w:rsidRPr="0018145E">
        <w:rPr>
          <w:sz w:val="20"/>
          <w:szCs w:val="20"/>
          <w:lang w:val="fr-FR"/>
        </w:rPr>
        <w:t xml:space="preserve"> d’achat (35%) et de la p</w:t>
      </w:r>
      <w:r w:rsidR="000A0A09" w:rsidRPr="0018145E">
        <w:rPr>
          <w:sz w:val="20"/>
          <w:szCs w:val="20"/>
          <w:lang w:val="fr-FR"/>
        </w:rPr>
        <w:t>lus grande complexité de la chaî</w:t>
      </w:r>
      <w:r w:rsidR="00025FF5" w:rsidRPr="0018145E">
        <w:rPr>
          <w:sz w:val="20"/>
          <w:szCs w:val="20"/>
          <w:lang w:val="fr-FR"/>
        </w:rPr>
        <w:t xml:space="preserve">ne d’approvisionnement (29%). Pour se préparer à ce dynamisme croissant au sein du commerce international maints participants </w:t>
      </w:r>
      <w:r w:rsidR="000A0A09" w:rsidRPr="0018145E">
        <w:rPr>
          <w:sz w:val="20"/>
          <w:szCs w:val="20"/>
          <w:lang w:val="fr-FR"/>
        </w:rPr>
        <w:t>tentent d’évoluer</w:t>
      </w:r>
      <w:r w:rsidR="00025FF5" w:rsidRPr="0018145E">
        <w:rPr>
          <w:sz w:val="20"/>
          <w:szCs w:val="20"/>
          <w:lang w:val="fr-FR"/>
        </w:rPr>
        <w:t xml:space="preserve"> vers une robustesse accrue des processus internes et de la collecte de</w:t>
      </w:r>
      <w:r w:rsidR="000A0A09" w:rsidRPr="0018145E">
        <w:rPr>
          <w:sz w:val="20"/>
          <w:szCs w:val="20"/>
          <w:lang w:val="fr-FR"/>
        </w:rPr>
        <w:t>s</w:t>
      </w:r>
      <w:r w:rsidR="00025FF5" w:rsidRPr="0018145E">
        <w:rPr>
          <w:sz w:val="20"/>
          <w:szCs w:val="20"/>
          <w:lang w:val="fr-FR"/>
        </w:rPr>
        <w:t xml:space="preserve"> données. </w:t>
      </w:r>
      <w:r w:rsidR="00FF2645" w:rsidRPr="0018145E">
        <w:rPr>
          <w:sz w:val="20"/>
          <w:szCs w:val="20"/>
          <w:lang w:val="fr-FR"/>
        </w:rPr>
        <w:t xml:space="preserve">La procédure la plus appliquée pour s’armer contre les changements dans le commerce mondial est la révision des contrôles et </w:t>
      </w:r>
      <w:r w:rsidR="000A0A09" w:rsidRPr="0018145E">
        <w:rPr>
          <w:sz w:val="20"/>
          <w:szCs w:val="20"/>
          <w:lang w:val="fr-FR"/>
        </w:rPr>
        <w:t xml:space="preserve">des </w:t>
      </w:r>
      <w:r w:rsidR="00FF2645" w:rsidRPr="0018145E">
        <w:rPr>
          <w:sz w:val="20"/>
          <w:szCs w:val="20"/>
          <w:lang w:val="fr-FR"/>
        </w:rPr>
        <w:t>procédures internes.</w:t>
      </w:r>
    </w:p>
    <w:p w14:paraId="329D84C6" w14:textId="39BD9A16" w:rsidR="00FF2645" w:rsidRPr="0018145E" w:rsidRDefault="00193C36" w:rsidP="00193C36">
      <w:pPr>
        <w:spacing w:line="360" w:lineRule="auto"/>
        <w:rPr>
          <w:sz w:val="20"/>
          <w:szCs w:val="20"/>
          <w:lang w:val="fr-FR"/>
        </w:rPr>
      </w:pPr>
      <w:r w:rsidRPr="0018145E">
        <w:rPr>
          <w:sz w:val="20"/>
          <w:szCs w:val="20"/>
          <w:lang w:val="fr-FR"/>
        </w:rPr>
        <w:lastRenderedPageBreak/>
        <w:t>"</w:t>
      </w:r>
      <w:r w:rsidR="00FF2645" w:rsidRPr="0018145E">
        <w:rPr>
          <w:sz w:val="20"/>
          <w:szCs w:val="20"/>
          <w:lang w:val="fr-FR"/>
        </w:rPr>
        <w:t>Comme le dynamisme commercial est en constant mouvement, il est bon de constater que les professionnels d’achat</w:t>
      </w:r>
      <w:r w:rsidR="00D02B35" w:rsidRPr="0018145E">
        <w:rPr>
          <w:sz w:val="20"/>
          <w:szCs w:val="20"/>
          <w:lang w:val="fr-FR"/>
        </w:rPr>
        <w:t>s</w:t>
      </w:r>
      <w:r w:rsidR="00FF2645" w:rsidRPr="0018145E">
        <w:rPr>
          <w:sz w:val="20"/>
          <w:szCs w:val="20"/>
          <w:lang w:val="fr-FR"/>
        </w:rPr>
        <w:t xml:space="preserve"> et de finances ont déjà fait les démarches nécessaires pour prévenir au maximum les effets négatifs”, témoigne Dany De </w:t>
      </w:r>
      <w:proofErr w:type="spellStart"/>
      <w:r w:rsidR="00FF2645" w:rsidRPr="0018145E">
        <w:rPr>
          <w:sz w:val="20"/>
          <w:szCs w:val="20"/>
          <w:lang w:val="fr-FR"/>
        </w:rPr>
        <w:t>Budt</w:t>
      </w:r>
      <w:proofErr w:type="spellEnd"/>
      <w:r w:rsidR="00FF2645" w:rsidRPr="0018145E">
        <w:rPr>
          <w:sz w:val="20"/>
          <w:szCs w:val="20"/>
          <w:lang w:val="fr-FR"/>
        </w:rPr>
        <w:t xml:space="preserve">, Country Manager chez </w:t>
      </w:r>
      <w:proofErr w:type="spellStart"/>
      <w:r w:rsidR="00FF2645" w:rsidRPr="0018145E">
        <w:rPr>
          <w:sz w:val="20"/>
          <w:szCs w:val="20"/>
          <w:lang w:val="fr-FR"/>
        </w:rPr>
        <w:t>Basware</w:t>
      </w:r>
      <w:proofErr w:type="spellEnd"/>
      <w:r w:rsidR="00FF2645" w:rsidRPr="0018145E">
        <w:rPr>
          <w:sz w:val="20"/>
          <w:szCs w:val="20"/>
          <w:lang w:val="fr-FR"/>
        </w:rPr>
        <w:t>. “Les entreprises prévoyantes sont à la recherche de plus de transparence dans leur chaine d’approvisionnement.”</w:t>
      </w:r>
    </w:p>
    <w:p w14:paraId="1ECDEDF6" w14:textId="77777777" w:rsidR="00193C36" w:rsidRPr="0018145E" w:rsidRDefault="00193C36" w:rsidP="00193C36">
      <w:pPr>
        <w:spacing w:line="360" w:lineRule="auto"/>
        <w:rPr>
          <w:sz w:val="20"/>
          <w:szCs w:val="20"/>
          <w:lang w:val="fr-FR"/>
        </w:rPr>
      </w:pPr>
    </w:p>
    <w:p w14:paraId="33985CE0" w14:textId="2A535916" w:rsidR="00FF2645" w:rsidRPr="0018145E" w:rsidRDefault="00193C36" w:rsidP="00193C36">
      <w:pPr>
        <w:spacing w:line="360" w:lineRule="auto"/>
        <w:rPr>
          <w:sz w:val="20"/>
          <w:szCs w:val="20"/>
          <w:lang w:val="fr-FR"/>
        </w:rPr>
      </w:pPr>
      <w:r w:rsidRPr="0018145E">
        <w:rPr>
          <w:sz w:val="20"/>
          <w:szCs w:val="20"/>
          <w:lang w:val="fr-FR"/>
        </w:rPr>
        <w:t>"</w:t>
      </w:r>
      <w:proofErr w:type="spellStart"/>
      <w:r w:rsidR="00FF2645" w:rsidRPr="0018145E">
        <w:rPr>
          <w:sz w:val="20"/>
          <w:szCs w:val="20"/>
          <w:lang w:val="fr-FR"/>
        </w:rPr>
        <w:t>Basware</w:t>
      </w:r>
      <w:proofErr w:type="spellEnd"/>
      <w:r w:rsidR="00FF2645" w:rsidRPr="0018145E">
        <w:rPr>
          <w:sz w:val="20"/>
          <w:szCs w:val="20"/>
          <w:lang w:val="fr-FR"/>
        </w:rPr>
        <w:t xml:space="preserve"> vise à aider ces entreprises pour obtenir plus de contrôle et de transparence dans tout leur processus source-to-</w:t>
      </w:r>
      <w:proofErr w:type="spellStart"/>
      <w:r w:rsidR="00FF2645" w:rsidRPr="0018145E">
        <w:rPr>
          <w:sz w:val="20"/>
          <w:szCs w:val="20"/>
          <w:lang w:val="fr-FR"/>
        </w:rPr>
        <w:t>pay</w:t>
      </w:r>
      <w:proofErr w:type="spellEnd"/>
      <w:r w:rsidR="00FF2645" w:rsidRPr="0018145E">
        <w:rPr>
          <w:sz w:val="20"/>
          <w:szCs w:val="20"/>
          <w:lang w:val="fr-FR"/>
        </w:rPr>
        <w:t xml:space="preserve">. Ainsi les entreprises </w:t>
      </w:r>
      <w:r w:rsidR="00D02B35" w:rsidRPr="0018145E">
        <w:rPr>
          <w:sz w:val="20"/>
          <w:szCs w:val="20"/>
          <w:lang w:val="fr-FR"/>
        </w:rPr>
        <w:t>pourront mieux</w:t>
      </w:r>
      <w:r w:rsidR="00FF2645" w:rsidRPr="0018145E">
        <w:rPr>
          <w:sz w:val="20"/>
          <w:szCs w:val="20"/>
          <w:lang w:val="fr-FR"/>
        </w:rPr>
        <w:t xml:space="preserve"> faire face aux défis et</w:t>
      </w:r>
      <w:r w:rsidR="00D02B35" w:rsidRPr="0018145E">
        <w:rPr>
          <w:sz w:val="20"/>
          <w:szCs w:val="20"/>
          <w:lang w:val="fr-FR"/>
        </w:rPr>
        <w:t xml:space="preserve"> aux</w:t>
      </w:r>
      <w:r w:rsidR="00FF2645" w:rsidRPr="0018145E">
        <w:rPr>
          <w:sz w:val="20"/>
          <w:szCs w:val="20"/>
          <w:lang w:val="fr-FR"/>
        </w:rPr>
        <w:t xml:space="preserve"> changements professionnels”, poursuit De </w:t>
      </w:r>
      <w:proofErr w:type="spellStart"/>
      <w:r w:rsidR="00FF2645" w:rsidRPr="0018145E">
        <w:rPr>
          <w:sz w:val="20"/>
          <w:szCs w:val="20"/>
          <w:lang w:val="fr-FR"/>
        </w:rPr>
        <w:t>Budt</w:t>
      </w:r>
      <w:proofErr w:type="spellEnd"/>
      <w:r w:rsidR="00FF2645" w:rsidRPr="0018145E">
        <w:rPr>
          <w:sz w:val="20"/>
          <w:szCs w:val="20"/>
          <w:lang w:val="fr-FR"/>
        </w:rPr>
        <w:t xml:space="preserve">. </w:t>
      </w:r>
    </w:p>
    <w:p w14:paraId="6694C2D5" w14:textId="77777777" w:rsidR="00193C36" w:rsidRPr="0018145E" w:rsidRDefault="00193C36" w:rsidP="00193C36">
      <w:pPr>
        <w:spacing w:line="360" w:lineRule="auto"/>
        <w:rPr>
          <w:sz w:val="20"/>
          <w:szCs w:val="20"/>
          <w:lang w:val="fr-FR"/>
        </w:rPr>
      </w:pPr>
    </w:p>
    <w:p w14:paraId="740346EF" w14:textId="1A083DFB" w:rsidR="00193C36" w:rsidRPr="0018145E" w:rsidRDefault="00FF2645" w:rsidP="00193C36">
      <w:pPr>
        <w:spacing w:line="360" w:lineRule="auto"/>
        <w:rPr>
          <w:b/>
          <w:sz w:val="20"/>
          <w:szCs w:val="20"/>
          <w:lang w:val="fr-FR"/>
        </w:rPr>
      </w:pPr>
      <w:r w:rsidRPr="0018145E">
        <w:rPr>
          <w:b/>
          <w:sz w:val="20"/>
          <w:szCs w:val="20"/>
          <w:lang w:val="fr-FR"/>
        </w:rPr>
        <w:t>Optimisation des tendances concernant le talent et l’automatisation</w:t>
      </w:r>
      <w:r w:rsidR="00C2042D" w:rsidRPr="0018145E">
        <w:rPr>
          <w:b/>
          <w:sz w:val="20"/>
          <w:szCs w:val="20"/>
          <w:lang w:val="fr-FR"/>
        </w:rPr>
        <w:t xml:space="preserve"> </w:t>
      </w:r>
    </w:p>
    <w:p w14:paraId="493E904A" w14:textId="0ED574FB" w:rsidR="00FF2645" w:rsidRPr="0018145E" w:rsidRDefault="00FF2645" w:rsidP="00193C36">
      <w:pPr>
        <w:spacing w:line="360" w:lineRule="auto"/>
        <w:rPr>
          <w:sz w:val="20"/>
          <w:szCs w:val="20"/>
          <w:lang w:val="fr-FR"/>
        </w:rPr>
      </w:pPr>
      <w:r w:rsidRPr="0018145E">
        <w:rPr>
          <w:sz w:val="20"/>
          <w:szCs w:val="20"/>
          <w:lang w:val="fr-FR"/>
        </w:rPr>
        <w:t xml:space="preserve">Le rapport soulève également des tendances au niveau du talent et de l’automatisation : </w:t>
      </w:r>
    </w:p>
    <w:p w14:paraId="2DF57D81" w14:textId="0428CD5D" w:rsidR="00FF2645" w:rsidRPr="0018145E" w:rsidRDefault="00FF2645" w:rsidP="00193C36">
      <w:pPr>
        <w:pStyle w:val="Lijstalinea"/>
        <w:numPr>
          <w:ilvl w:val="0"/>
          <w:numId w:val="1"/>
        </w:numPr>
        <w:spacing w:line="360" w:lineRule="auto"/>
        <w:rPr>
          <w:sz w:val="20"/>
          <w:szCs w:val="20"/>
          <w:lang w:val="fr-FR"/>
        </w:rPr>
      </w:pPr>
      <w:r w:rsidRPr="0018145E">
        <w:rPr>
          <w:sz w:val="20"/>
          <w:szCs w:val="20"/>
          <w:lang w:val="fr-FR"/>
        </w:rPr>
        <w:t xml:space="preserve">La numérisation fera diminuer les coûts totaux mais renforcera la concurrence des talents. </w:t>
      </w:r>
      <w:r w:rsidR="00F25CCB" w:rsidRPr="0018145E">
        <w:rPr>
          <w:sz w:val="20"/>
          <w:szCs w:val="20"/>
          <w:lang w:val="fr-FR"/>
        </w:rPr>
        <w:t xml:space="preserve">Un peu moins d’un tiers des répondants (32%) prévoit que la numérisation fera baisser les frais, le second impact le plus attendu. Presque le même nombre de participants (31%) </w:t>
      </w:r>
      <w:r w:rsidR="00995BA5" w:rsidRPr="0018145E">
        <w:rPr>
          <w:sz w:val="20"/>
          <w:szCs w:val="20"/>
          <w:lang w:val="fr-FR"/>
        </w:rPr>
        <w:t xml:space="preserve">estime que le recrutement de collaborateurs disposant de compétences numériques spécifiques deviendra primordial pour faciliter la transformation numérique de leurs organisations. Autre tendance : la formation des travailleurs actuels pour qu’ils puissent prévoir les changements et s’y adapter. </w:t>
      </w:r>
    </w:p>
    <w:p w14:paraId="32805C73" w14:textId="77777777" w:rsidR="00C2042D" w:rsidRPr="0018145E" w:rsidRDefault="00C2042D" w:rsidP="00C2042D">
      <w:pPr>
        <w:pStyle w:val="Lijstalinea"/>
        <w:spacing w:line="360" w:lineRule="auto"/>
        <w:rPr>
          <w:sz w:val="20"/>
          <w:szCs w:val="20"/>
          <w:lang w:val="fr-FR"/>
        </w:rPr>
      </w:pPr>
    </w:p>
    <w:p w14:paraId="2C5B27E0" w14:textId="139D5EB9" w:rsidR="00995BA5" w:rsidRPr="0018145E" w:rsidRDefault="00995BA5" w:rsidP="00193C36">
      <w:pPr>
        <w:pStyle w:val="Lijstalinea"/>
        <w:numPr>
          <w:ilvl w:val="0"/>
          <w:numId w:val="1"/>
        </w:numPr>
        <w:spacing w:line="360" w:lineRule="auto"/>
        <w:rPr>
          <w:sz w:val="20"/>
          <w:szCs w:val="20"/>
          <w:lang w:val="fr-FR"/>
        </w:rPr>
      </w:pPr>
      <w:r w:rsidRPr="0018145E">
        <w:rPr>
          <w:sz w:val="20"/>
          <w:szCs w:val="20"/>
          <w:lang w:val="fr-FR"/>
        </w:rPr>
        <w:t xml:space="preserve">Les directeurs d’achats et de finances s’attendent à ce que l’automatisation des différents processus de finances et d’achats aura le plus grand impact sur leur organisation (plus que sur les décisions prises à base de l’IA). Selon eux l’automatisation des paiements sera la tendance d’automatisation la plus déterminante dans les deux années à venir </w:t>
      </w:r>
      <w:r w:rsidR="00687B04" w:rsidRPr="0018145E">
        <w:rPr>
          <w:sz w:val="20"/>
          <w:szCs w:val="20"/>
          <w:lang w:val="fr-FR"/>
        </w:rPr>
        <w:t xml:space="preserve">(16%). Les répondants sont également d’avis que les plus hautes fonctions, comme </w:t>
      </w:r>
      <w:r w:rsidR="00D02B35" w:rsidRPr="0018145E">
        <w:rPr>
          <w:sz w:val="20"/>
          <w:szCs w:val="20"/>
          <w:lang w:val="fr-FR"/>
        </w:rPr>
        <w:t>le</w:t>
      </w:r>
      <w:r w:rsidR="00687B04" w:rsidRPr="0018145E">
        <w:rPr>
          <w:sz w:val="20"/>
          <w:szCs w:val="20"/>
          <w:lang w:val="fr-FR"/>
        </w:rPr>
        <w:t xml:space="preserve"> niveau de la prise de décision, ne seront pas impactées par l’automatisation. Seul 15% des participants estiment que l’impact de l’automatisation sur la prise de décision dans la chaîne d’approvisionnement sera </w:t>
      </w:r>
      <w:r w:rsidR="00D02B35" w:rsidRPr="0018145E">
        <w:rPr>
          <w:sz w:val="20"/>
          <w:szCs w:val="20"/>
          <w:lang w:val="fr-FR"/>
        </w:rPr>
        <w:t>primordial</w:t>
      </w:r>
      <w:r w:rsidR="00687B04" w:rsidRPr="0018145E">
        <w:rPr>
          <w:sz w:val="20"/>
          <w:szCs w:val="20"/>
          <w:lang w:val="fr-FR"/>
        </w:rPr>
        <w:t xml:space="preserve">.  </w:t>
      </w:r>
    </w:p>
    <w:p w14:paraId="401593F7" w14:textId="77777777" w:rsidR="00995BA5" w:rsidRPr="0018145E" w:rsidRDefault="00995BA5" w:rsidP="00995BA5">
      <w:pPr>
        <w:spacing w:line="360" w:lineRule="auto"/>
        <w:rPr>
          <w:sz w:val="20"/>
          <w:szCs w:val="20"/>
          <w:lang w:val="fr-FR"/>
        </w:rPr>
      </w:pPr>
    </w:p>
    <w:p w14:paraId="00A03FD0" w14:textId="77777777" w:rsidR="006A0CEB" w:rsidRPr="006A0CEB" w:rsidRDefault="006A0CEB" w:rsidP="006A0CEB">
      <w:pPr>
        <w:pStyle w:val="Normaalweb"/>
        <w:suppressAutoHyphens/>
        <w:spacing w:before="0" w:beforeAutospacing="0" w:afterLines="200" w:after="480" w:afterAutospacing="0" w:line="360" w:lineRule="auto"/>
        <w:rPr>
          <w:rFonts w:ascii="Calibri" w:hAnsi="Calibri" w:cs="Calibri"/>
          <w:sz w:val="20"/>
          <w:szCs w:val="20"/>
          <w:lang w:val="fr-FR"/>
        </w:rPr>
      </w:pPr>
      <w:r w:rsidRPr="006A0CEB">
        <w:rPr>
          <w:rFonts w:ascii="Calibri" w:hAnsi="Calibri" w:cs="Calibri"/>
          <w:b/>
          <w:sz w:val="20"/>
          <w:szCs w:val="20"/>
          <w:lang w:val="fr-FR"/>
        </w:rPr>
        <w:t xml:space="preserve">À propos de </w:t>
      </w:r>
      <w:proofErr w:type="spellStart"/>
      <w:r w:rsidRPr="006A0CEB">
        <w:rPr>
          <w:rFonts w:ascii="Calibri" w:hAnsi="Calibri" w:cs="Calibri"/>
          <w:b/>
          <w:sz w:val="20"/>
          <w:szCs w:val="20"/>
          <w:lang w:val="fr-FR"/>
        </w:rPr>
        <w:t>Basware</w:t>
      </w:r>
      <w:proofErr w:type="spellEnd"/>
      <w:r w:rsidRPr="006A0CEB">
        <w:rPr>
          <w:rFonts w:ascii="Calibri" w:hAnsi="Calibri" w:cs="Calibri"/>
          <w:b/>
          <w:sz w:val="20"/>
          <w:szCs w:val="20"/>
          <w:lang w:val="fr-FR"/>
        </w:rPr>
        <w:br/>
      </w:r>
      <w:proofErr w:type="spellStart"/>
      <w:r w:rsidRPr="006A0CEB">
        <w:rPr>
          <w:rFonts w:ascii="Calibri" w:hAnsi="Calibri" w:cs="Calibri"/>
          <w:sz w:val="20"/>
          <w:szCs w:val="20"/>
          <w:lang w:val="fr-FR"/>
        </w:rPr>
        <w:t>Basware</w:t>
      </w:r>
      <w:proofErr w:type="spellEnd"/>
      <w:r w:rsidRPr="006A0CEB">
        <w:rPr>
          <w:rFonts w:ascii="Calibri" w:hAnsi="Calibri" w:cs="Calibri"/>
          <w:sz w:val="20"/>
          <w:szCs w:val="20"/>
          <w:lang w:val="fr-FR"/>
        </w:rPr>
        <w:t xml:space="preserve"> est un fournisseur influent de solutions P2P en réseaux, de e-facturation et de services financiers innovants. Le réseau commercial et financier de </w:t>
      </w:r>
      <w:proofErr w:type="spellStart"/>
      <w:r w:rsidRPr="006A0CEB">
        <w:rPr>
          <w:rFonts w:ascii="Calibri" w:hAnsi="Calibri" w:cs="Calibri"/>
          <w:sz w:val="20"/>
          <w:szCs w:val="20"/>
          <w:lang w:val="fr-FR"/>
        </w:rPr>
        <w:t>Basware</w:t>
      </w:r>
      <w:proofErr w:type="spellEnd"/>
      <w:r w:rsidRPr="006A0CEB">
        <w:rPr>
          <w:rFonts w:ascii="Calibri" w:hAnsi="Calibri" w:cs="Calibri"/>
          <w:sz w:val="20"/>
          <w:szCs w:val="20"/>
          <w:lang w:val="fr-FR"/>
        </w:rPr>
        <w:t xml:space="preserve"> et présent dans plus de 100 pays et relie des entreprises dans le monde entier. </w:t>
      </w:r>
      <w:proofErr w:type="spellStart"/>
      <w:r w:rsidRPr="006A0CEB">
        <w:rPr>
          <w:rFonts w:ascii="Calibri" w:hAnsi="Calibri" w:cs="Calibri"/>
          <w:sz w:val="20"/>
          <w:szCs w:val="20"/>
          <w:lang w:val="fr-FR"/>
        </w:rPr>
        <w:t>Basware</w:t>
      </w:r>
      <w:proofErr w:type="spellEnd"/>
      <w:r w:rsidRPr="006A0CEB">
        <w:rPr>
          <w:rFonts w:ascii="Calibri" w:hAnsi="Calibri" w:cs="Calibri"/>
          <w:sz w:val="20"/>
          <w:szCs w:val="20"/>
          <w:lang w:val="fr-FR"/>
        </w:rPr>
        <w:t xml:space="preserve"> dispose également du plus grand réseau commercial ouvert du monde qui génère une excellente collaboration entre les entreprises, quelle que soit leur taille. En simplifiant et en harmonisant les processus financiers, ces entreprises peuvent tirer le maximum de leurs activités commerciales. Elles peuvent ainsi réaliser d’importantes économies, élaborer des modes de paiement plus efficaces et construire de meilleures relations avec leurs fournisseurs. Pour plus d’infos : </w:t>
      </w:r>
      <w:hyperlink r:id="rId9" w:history="1">
        <w:r w:rsidRPr="006A0CEB">
          <w:rPr>
            <w:rStyle w:val="Hyperlink"/>
            <w:rFonts w:ascii="Calibri" w:hAnsi="Calibri" w:cs="Calibri"/>
            <w:sz w:val="20"/>
            <w:szCs w:val="20"/>
            <w:lang w:val="fr-FR"/>
          </w:rPr>
          <w:t>www.basware.com</w:t>
        </w:r>
      </w:hyperlink>
    </w:p>
    <w:p w14:paraId="01678451" w14:textId="31C4812B" w:rsidR="00E356F8" w:rsidRPr="006A0CEB" w:rsidRDefault="006A0CEB" w:rsidP="006A0CEB">
      <w:pPr>
        <w:suppressAutoHyphens/>
        <w:spacing w:line="360" w:lineRule="auto"/>
        <w:rPr>
          <w:rFonts w:ascii="Calibri" w:hAnsi="Calibri" w:cs="Calibri"/>
          <w:sz w:val="20"/>
          <w:szCs w:val="20"/>
          <w:lang w:val="fr-FR"/>
        </w:rPr>
      </w:pPr>
      <w:r w:rsidRPr="006A0CEB">
        <w:rPr>
          <w:rFonts w:ascii="Calibri" w:hAnsi="Calibri" w:cs="Calibri"/>
          <w:b/>
          <w:sz w:val="20"/>
          <w:szCs w:val="20"/>
          <w:lang w:val="fr-FR"/>
        </w:rPr>
        <w:t xml:space="preserve">Pour de plus amples informations contactez </w:t>
      </w:r>
      <w:r w:rsidRPr="006A0CEB">
        <w:rPr>
          <w:rFonts w:ascii="Calibri" w:hAnsi="Calibri" w:cs="Calibri"/>
          <w:b/>
          <w:color w:val="000000"/>
          <w:sz w:val="20"/>
          <w:szCs w:val="20"/>
          <w:lang w:val="fr-FR"/>
        </w:rPr>
        <w:t>:</w:t>
      </w:r>
      <w:r w:rsidRPr="006A0CEB">
        <w:rPr>
          <w:rFonts w:ascii="Calibri" w:hAnsi="Calibri" w:cs="Calibri"/>
          <w:b/>
          <w:color w:val="000000"/>
          <w:sz w:val="20"/>
          <w:szCs w:val="20"/>
          <w:lang w:val="fr-FR"/>
        </w:rPr>
        <w:br/>
      </w:r>
      <w:r w:rsidRPr="006A0CEB">
        <w:rPr>
          <w:rFonts w:ascii="Calibri" w:hAnsi="Calibri" w:cs="Calibri"/>
          <w:sz w:val="20"/>
          <w:szCs w:val="20"/>
          <w:lang w:val="fr-FR"/>
        </w:rPr>
        <w:t xml:space="preserve">Sandra Van </w:t>
      </w:r>
      <w:proofErr w:type="spellStart"/>
      <w:r w:rsidRPr="006A0CEB">
        <w:rPr>
          <w:rFonts w:ascii="Calibri" w:hAnsi="Calibri" w:cs="Calibri"/>
          <w:sz w:val="20"/>
          <w:szCs w:val="20"/>
          <w:lang w:val="fr-FR"/>
        </w:rPr>
        <w:t>Hauwaert</w:t>
      </w:r>
      <w:proofErr w:type="spellEnd"/>
      <w:r w:rsidRPr="006A0CEB">
        <w:rPr>
          <w:rFonts w:ascii="Calibri" w:hAnsi="Calibri" w:cs="Calibri"/>
          <w:sz w:val="20"/>
          <w:szCs w:val="20"/>
          <w:lang w:val="fr-FR"/>
        </w:rPr>
        <w:t xml:space="preserve">, Square Egg Communications, </w:t>
      </w:r>
      <w:hyperlink r:id="rId10" w:history="1">
        <w:r w:rsidRPr="006A0CEB">
          <w:rPr>
            <w:rStyle w:val="Hyperlink"/>
            <w:rFonts w:ascii="Calibri" w:hAnsi="Calibri" w:cs="Calibri"/>
            <w:sz w:val="20"/>
            <w:szCs w:val="20"/>
            <w:lang w:val="fr-FR"/>
          </w:rPr>
          <w:t>sandra@square-egg.be</w:t>
        </w:r>
      </w:hyperlink>
      <w:r w:rsidRPr="006A0CEB">
        <w:rPr>
          <w:rFonts w:ascii="Calibri" w:hAnsi="Calibri" w:cs="Calibri"/>
          <w:sz w:val="20"/>
          <w:szCs w:val="20"/>
          <w:lang w:val="fr-FR"/>
        </w:rPr>
        <w:t xml:space="preserve">, </w:t>
      </w:r>
      <w:r w:rsidRPr="006A0CEB">
        <w:rPr>
          <w:rFonts w:ascii="Calibri" w:hAnsi="Calibri" w:cs="Calibri"/>
          <w:sz w:val="20"/>
          <w:szCs w:val="20"/>
          <w:lang w:val="fr-FR"/>
        </w:rPr>
        <w:br/>
        <w:t>GSM 0497 251816.</w:t>
      </w:r>
      <w:bookmarkStart w:id="0" w:name="_GoBack"/>
      <w:bookmarkEnd w:id="0"/>
    </w:p>
    <w:sectPr w:rsidR="00E356F8" w:rsidRPr="006A0CEB" w:rsidSect="00CA39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0336" w14:textId="77777777" w:rsidR="00C5251D" w:rsidRDefault="00C5251D" w:rsidP="004D48AE">
      <w:r>
        <w:separator/>
      </w:r>
    </w:p>
  </w:endnote>
  <w:endnote w:type="continuationSeparator" w:id="0">
    <w:p w14:paraId="54A374ED" w14:textId="77777777" w:rsidR="00C5251D" w:rsidRDefault="00C5251D" w:rsidP="004D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069C" w14:textId="77777777" w:rsidR="00C5251D" w:rsidRDefault="00C5251D" w:rsidP="004D48AE">
      <w:r>
        <w:separator/>
      </w:r>
    </w:p>
  </w:footnote>
  <w:footnote w:type="continuationSeparator" w:id="0">
    <w:p w14:paraId="7DB2CC54" w14:textId="77777777" w:rsidR="00C5251D" w:rsidRDefault="00C5251D" w:rsidP="004D48AE">
      <w:r>
        <w:continuationSeparator/>
      </w:r>
    </w:p>
  </w:footnote>
  <w:footnote w:id="1">
    <w:p w14:paraId="0B7DF1D1" w14:textId="5ECA9F67" w:rsidR="004D48AE" w:rsidRPr="006A0CEB" w:rsidRDefault="004D48AE">
      <w:pPr>
        <w:pStyle w:val="Voetnoottekst"/>
        <w:rPr>
          <w:sz w:val="16"/>
          <w:szCs w:val="16"/>
          <w:lang w:val="en-US"/>
        </w:rPr>
      </w:pPr>
      <w:r>
        <w:rPr>
          <w:rStyle w:val="Voetnootmarkering"/>
        </w:rPr>
        <w:footnoteRef/>
      </w:r>
      <w:r w:rsidRPr="006A0CEB">
        <w:rPr>
          <w:lang w:val="en-US"/>
        </w:rPr>
        <w:t xml:space="preserve"> </w:t>
      </w:r>
      <w:r w:rsidRPr="006A0CEB">
        <w:rPr>
          <w:sz w:val="16"/>
          <w:szCs w:val="16"/>
          <w:lang w:val="en-US"/>
        </w:rPr>
        <w:t>Le présent et l’avenir pour les Achats et les Finances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D90"/>
    <w:multiLevelType w:val="hybridMultilevel"/>
    <w:tmpl w:val="E510459A"/>
    <w:lvl w:ilvl="0" w:tplc="6CA2F036">
      <w:start w:val="40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36"/>
    <w:rsid w:val="00025FF5"/>
    <w:rsid w:val="000653BF"/>
    <w:rsid w:val="000A0A09"/>
    <w:rsid w:val="00113C24"/>
    <w:rsid w:val="0018145E"/>
    <w:rsid w:val="00193C36"/>
    <w:rsid w:val="001E37FC"/>
    <w:rsid w:val="00243A8A"/>
    <w:rsid w:val="002E1714"/>
    <w:rsid w:val="0031206C"/>
    <w:rsid w:val="00335633"/>
    <w:rsid w:val="00377FA4"/>
    <w:rsid w:val="00402B09"/>
    <w:rsid w:val="00406B75"/>
    <w:rsid w:val="004D48AE"/>
    <w:rsid w:val="00687B04"/>
    <w:rsid w:val="006A0CEB"/>
    <w:rsid w:val="00797390"/>
    <w:rsid w:val="007D17E9"/>
    <w:rsid w:val="00884B68"/>
    <w:rsid w:val="008B4437"/>
    <w:rsid w:val="008D6F99"/>
    <w:rsid w:val="0096692F"/>
    <w:rsid w:val="00972520"/>
    <w:rsid w:val="00995BA5"/>
    <w:rsid w:val="009E3C3E"/>
    <w:rsid w:val="00AF551A"/>
    <w:rsid w:val="00B03BCF"/>
    <w:rsid w:val="00B053B4"/>
    <w:rsid w:val="00C03742"/>
    <w:rsid w:val="00C16539"/>
    <w:rsid w:val="00C2042D"/>
    <w:rsid w:val="00C5251D"/>
    <w:rsid w:val="00CA39F4"/>
    <w:rsid w:val="00D02B35"/>
    <w:rsid w:val="00D82D6F"/>
    <w:rsid w:val="00E356F8"/>
    <w:rsid w:val="00F25CCB"/>
    <w:rsid w:val="00FF2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6B8699"/>
  <w14:defaultImageDpi w14:val="32767"/>
  <w15:chartTrackingRefBased/>
  <w15:docId w15:val="{4B37EBE5-258F-D54F-AF10-2FEB72C0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042D"/>
    <w:pPr>
      <w:ind w:left="720"/>
      <w:contextualSpacing/>
    </w:pPr>
  </w:style>
  <w:style w:type="paragraph" w:styleId="Ballontekst">
    <w:name w:val="Balloon Text"/>
    <w:basedOn w:val="Standaard"/>
    <w:link w:val="BallontekstChar"/>
    <w:uiPriority w:val="99"/>
    <w:semiHidden/>
    <w:unhideWhenUsed/>
    <w:rsid w:val="00113C2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13C24"/>
    <w:rPr>
      <w:rFonts w:ascii="Times New Roman" w:hAnsi="Times New Roman" w:cs="Times New Roman"/>
      <w:sz w:val="18"/>
      <w:szCs w:val="18"/>
    </w:rPr>
  </w:style>
  <w:style w:type="paragraph" w:styleId="Voetnoottekst">
    <w:name w:val="footnote text"/>
    <w:basedOn w:val="Standaard"/>
    <w:link w:val="VoetnoottekstChar"/>
    <w:uiPriority w:val="99"/>
    <w:unhideWhenUsed/>
    <w:rsid w:val="004D48AE"/>
  </w:style>
  <w:style w:type="character" w:customStyle="1" w:styleId="VoetnoottekstChar">
    <w:name w:val="Voetnoottekst Char"/>
    <w:basedOn w:val="Standaardalinea-lettertype"/>
    <w:link w:val="Voetnoottekst"/>
    <w:uiPriority w:val="99"/>
    <w:rsid w:val="004D48AE"/>
  </w:style>
  <w:style w:type="character" w:styleId="Voetnootmarkering">
    <w:name w:val="footnote reference"/>
    <w:basedOn w:val="Standaardalinea-lettertype"/>
    <w:uiPriority w:val="99"/>
    <w:unhideWhenUsed/>
    <w:rsid w:val="004D48AE"/>
    <w:rPr>
      <w:vertAlign w:val="superscript"/>
    </w:rPr>
  </w:style>
  <w:style w:type="paragraph" w:styleId="Normaalweb">
    <w:name w:val="Normal (Web)"/>
    <w:basedOn w:val="Standaard"/>
    <w:uiPriority w:val="99"/>
    <w:unhideWhenUsed/>
    <w:rsid w:val="006A0CEB"/>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Standaardalinea-lettertype"/>
    <w:uiPriority w:val="99"/>
    <w:unhideWhenUsed/>
    <w:rsid w:val="006A0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dra@square-egg.be" TargetMode="External"/><Relationship Id="rId4" Type="http://schemas.openxmlformats.org/officeDocument/2006/relationships/settings" Target="settings.xml"/><Relationship Id="rId9" Type="http://schemas.openxmlformats.org/officeDocument/2006/relationships/hyperlink" Target="http://www.basware.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file>

<file path=customXml/itemProps1.xml><?xml version="1.0" encoding="utf-8"?>
<ds:datastoreItem xmlns:ds="http://schemas.openxmlformats.org/officeDocument/2006/customXml" ds:itemID="{95DDCBA6-FD5A-6F40-B267-DA81152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2</cp:revision>
  <dcterms:created xsi:type="dcterms:W3CDTF">2019-06-08T22:22:00Z</dcterms:created>
  <dcterms:modified xsi:type="dcterms:W3CDTF">2019-06-08T22:22:00Z</dcterms:modified>
</cp:coreProperties>
</file>